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EE" w:rsidRPr="005F0999" w:rsidRDefault="008327EE" w:rsidP="008327EE">
      <w:pPr>
        <w:pStyle w:val="a6"/>
        <w:spacing w:line="240" w:lineRule="auto"/>
      </w:pPr>
      <w:r w:rsidRPr="005F0999">
        <w:t xml:space="preserve">Дану інтерполяцію можна розглядати як окремий випадок схеми з регульованим ступенем </w:t>
      </w:r>
      <w:proofErr w:type="spellStart"/>
      <w:r w:rsidRPr="005F0999">
        <w:t>протипотоковості</w:t>
      </w:r>
      <w:proofErr w:type="spellEnd"/>
      <w:r w:rsidRPr="005F0999">
        <w:t xml:space="preserve">. У дещо спрощеному вигляді (без урахування зміни розмірів комірок) </w:t>
      </w:r>
      <w:proofErr w:type="spellStart"/>
      <w:r w:rsidRPr="005F0999">
        <w:t>протипотокова</w:t>
      </w:r>
      <w:proofErr w:type="spellEnd"/>
      <w:r w:rsidRPr="005F0999">
        <w:t xml:space="preserve"> схема другого порядку точності може бути представлена </w:t>
      </w:r>
      <w:r w:rsidRPr="005F0999">
        <w:rPr>
          <w:rFonts w:hAnsi="Cambria Math"/>
        </w:rPr>
        <w:t>​​</w:t>
      </w:r>
      <w:r w:rsidRPr="005F0999">
        <w:t>наступним чином:</w:t>
      </w:r>
    </w:p>
    <w:p w:rsidR="008327EE" w:rsidRPr="005F0999" w:rsidRDefault="008327EE" w:rsidP="008327EE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≈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ε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Times New Roman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W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&gt;</m:t>
                  </m:r>
                  <m:r>
                    <w:rPr>
                      <w:rFonts w:ascii="Cambria Math" w:hAnsi="Times New Roman"/>
                    </w:rPr>
                    <m:t xml:space="preserve">0 </m:t>
                  </m:r>
                </m:e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&lt;</m:t>
                  </m:r>
                  <m:r>
                    <w:rPr>
                      <w:rFonts w:ascii="Cambria Math" w:hAnsi="Times New Roman"/>
                    </w:rPr>
                    <m:t>0</m:t>
                  </m:r>
                </m:e>
              </m:eqArr>
            </m:e>
          </m:d>
        </m:oMath>
      </m:oMathPara>
    </w:p>
    <w:p w:rsidR="008327EE" w:rsidRPr="005F0999" w:rsidRDefault="008327EE" w:rsidP="008327EE">
      <w:pPr>
        <w:pStyle w:val="a5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Pr="005F0999">
        <w:rPr>
          <w:b w:val="0"/>
          <w:sz w:val="22"/>
          <w:szCs w:val="22"/>
          <w:lang w:val="uk-UA"/>
        </w:rPr>
        <w:t>(3)</w:t>
      </w:r>
    </w:p>
    <w:p w:rsidR="008327EE" w:rsidRPr="005F0999" w:rsidRDefault="008327EE" w:rsidP="008327EE">
      <w:pPr>
        <w:pStyle w:val="a6"/>
        <w:spacing w:line="240" w:lineRule="auto"/>
        <w:ind w:firstLine="0"/>
      </w:pPr>
      <w:r w:rsidRPr="005F0999">
        <w:t>де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ϕ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noProof/>
        </w:rPr>
        <w:t xml:space="preserve"> </w:t>
      </w:r>
      <w:r w:rsidRPr="005F0999">
        <w:t xml:space="preserve">- «центральне» значення, одержуване шляхом лінійної інтерполяції, 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δ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>- протипотокова поправка, що вводиться з регульованою вагою</w:t>
      </w:r>
      <w:r w:rsidRPr="00A1587E">
        <w:rPr>
          <w:i/>
        </w:rPr>
        <w:t xml:space="preserve"> </w:t>
      </w:r>
      <m:oMath>
        <m:r>
          <m:rPr>
            <m:sty m:val="p"/>
          </m:rPr>
          <w:rPr>
            <w:rFonts w:ascii="Cambria Math"/>
          </w:rPr>
          <m:t>ε</m:t>
        </m:r>
      </m:oMath>
      <w:r w:rsidRPr="005F0999">
        <w:t xml:space="preserve">. При   </w:t>
      </w: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1</m:t>
        </m:r>
      </m:oMath>
      <w:r w:rsidRPr="005F0999">
        <w:t xml:space="preserve"> маємо повністю протипотокову схему,</w:t>
      </w:r>
      <m:oMath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0</m:t>
        </m:r>
      </m:oMath>
      <w:r w:rsidRPr="005F0999">
        <w:t xml:space="preserve"> - центрально-різницева схема (що пояснює </w:t>
      </w:r>
      <w:r w:rsidRPr="005F0999">
        <w:rPr>
          <w:rStyle w:val="a4"/>
        </w:rPr>
        <w:t xml:space="preserve">назву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ϕ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rStyle w:val="a4"/>
        </w:rPr>
        <w:t xml:space="preserve">). Відзначимо, що поправка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δ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rStyle w:val="a4"/>
        </w:rPr>
        <w:t xml:space="preserve"> може враховувати зміну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5F0999">
        <w:rPr>
          <w:rStyle w:val="a4"/>
        </w:rPr>
        <w:t xml:space="preserve"> не тільки </w:t>
      </w:r>
      <w:r w:rsidRPr="005F0999">
        <w:t xml:space="preserve">уздовж індексного лінії </w:t>
      </w:r>
      <m:oMath>
        <m:r>
          <w:rPr>
            <w:rFonts w:ascii="Cambria Math"/>
            <w:lang w:val="en-US"/>
          </w:rPr>
          <m:t>i</m:t>
        </m:r>
      </m:oMath>
      <w:r w:rsidRPr="005F0999">
        <w:t xml:space="preserve">, але також вздовж напрямків </w:t>
      </w:r>
      <m:oMath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 xml:space="preserve"> </m:t>
        </m:r>
      </m:oMath>
      <w:r w:rsidRPr="005F0999">
        <w:t xml:space="preserve">і </w:t>
      </w:r>
      <m:oMath>
        <m:r>
          <w:rPr>
            <w:rFonts w:ascii="Cambria Math"/>
          </w:rPr>
          <m:t>k</m:t>
        </m:r>
      </m:oMath>
      <w:r w:rsidRPr="005F0999">
        <w:t>. Сімейству зважених протипотокових схем першого порядку точності відповідає поправка наступного виду (</w:t>
      </w: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1</m:t>
        </m:r>
      </m:oMath>
      <w:r w:rsidRPr="005F0999">
        <w:t xml:space="preserve"> дає повністю протипотокову схему):</w:t>
      </w:r>
    </w:p>
    <w:p w:rsidR="008327EE" w:rsidRPr="005F0999" w:rsidRDefault="008327EE" w:rsidP="008327EE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δ</m:t>
              </m:r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&gt;</m:t>
                  </m:r>
                  <m:r>
                    <w:rPr>
                      <w:rFonts w:ascii="Cambria Math" w:hAnsi="Times New Roman"/>
                    </w:rPr>
                    <m:t xml:space="preserve">0 </m:t>
                  </m:r>
                </m:e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&lt;</m:t>
                  </m:r>
                  <m:r>
                    <w:rPr>
                      <w:rFonts w:ascii="Cambria Math" w:hAnsi="Times New Roman"/>
                    </w:rPr>
                    <m:t>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Times New Roman"/>
            </w:rPr>
            <m:t xml:space="preserve"> </m:t>
          </m:r>
        </m:oMath>
      </m:oMathPara>
    </w:p>
    <w:p w:rsidR="008327EE" w:rsidRPr="005F0999" w:rsidRDefault="008327EE" w:rsidP="008327EE">
      <w:pPr>
        <w:pStyle w:val="a5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lang w:val="ru-RU"/>
        </w:rPr>
        <w:t xml:space="preserve"> </w:t>
      </w:r>
      <w:r w:rsidRPr="005F0999">
        <w:rPr>
          <w:b w:val="0"/>
          <w:lang w:val="ru-RU"/>
        </w:rPr>
        <w:tab/>
      </w:r>
      <w:r w:rsidRPr="005F0999">
        <w:rPr>
          <w:b w:val="0"/>
          <w:sz w:val="22"/>
          <w:szCs w:val="22"/>
          <w:lang w:val="uk-UA"/>
        </w:rPr>
        <w:t>(3а)</w:t>
      </w:r>
    </w:p>
    <w:p w:rsidR="008327EE" w:rsidRPr="005F0999" w:rsidRDefault="008327EE" w:rsidP="008327EE">
      <w:pPr>
        <w:pStyle w:val="a6"/>
        <w:spacing w:line="240" w:lineRule="auto"/>
      </w:pPr>
      <w:r w:rsidRPr="005F0999">
        <w:t xml:space="preserve">Апроксимація дифузійної складової потоку, на відміну від </w:t>
      </w:r>
      <w:proofErr w:type="spellStart"/>
      <w:r w:rsidRPr="005F0999">
        <w:t>конвективної</w:t>
      </w:r>
      <w:proofErr w:type="spellEnd"/>
      <w:r w:rsidRPr="005F0999">
        <w:t xml:space="preserve">, не вимагає яких-небудь заходів для забезпечення стійкості схеми. Деяку складність представляє лише обчислення похідної  </w:t>
      </w:r>
      <w:r w:rsidRPr="005F0999">
        <w:fldChar w:fldCharType="begin"/>
      </w:r>
      <w:r w:rsidRPr="005F0999">
        <w:instrText xml:space="preserve"> QUOTE </w:instrText>
      </w:r>
      <m:oMath>
        <m:acc>
          <m:accPr>
            <m:chr m:val="̅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r>
          <m:rPr>
            <m:sty m:val="p"/>
          </m:rPr>
          <w:rPr>
            <w:rFonts w:ascii="Cambria Math" w:hAnsi="Cambria Math"/>
          </w:rPr>
          <m:t>∙∇</m:t>
        </m:r>
        <m:r>
          <w:rPr>
            <w:rFonts w:ascii="Cambria Math" w:hAnsi="Cambria Math"/>
            <w:lang w:val="en-US"/>
          </w:rPr>
          <m:t>ϕ</m:t>
        </m:r>
        <m:r>
          <m:rPr>
            <m:sty m:val="p"/>
          </m:rPr>
          <w:rPr>
            <w:rFonts w:ascii="Cambria Math"/>
          </w:rPr>
          <m:t>≡</m:t>
        </m:r>
        <m:f>
          <m:fPr>
            <m:type m:val="skw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∂ϕ</m:t>
            </m:r>
          </m:num>
          <m:den>
            <m:r>
              <w:rPr>
                <w:rFonts w:ascii="Cambria Math" w:hAnsi="Cambria Math"/>
                <w:lang w:val="en-US"/>
              </w:rPr>
              <m:t>∂n</m:t>
            </m:r>
          </m:den>
        </m:f>
      </m:oMath>
      <w:r w:rsidRPr="005F0999">
        <w:instrText xml:space="preserve"> </w:instrText>
      </w:r>
      <w:r w:rsidRPr="005F0999">
        <w:fldChar w:fldCharType="end"/>
      </w:r>
      <w:r w:rsidRPr="005F0999">
        <w:t>в центрі грані. Існують, принаймні, дві можливості.</w:t>
      </w:r>
    </w:p>
    <w:p w:rsidR="008327EE" w:rsidRPr="005F0999" w:rsidRDefault="008327EE" w:rsidP="008327EE">
      <w:pPr>
        <w:pStyle w:val="a6"/>
        <w:spacing w:line="240" w:lineRule="auto"/>
      </w:pPr>
      <w:r w:rsidRPr="005F0999">
        <w:t xml:space="preserve">Перша - розрахувати значення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m:rPr>
            <m:sty m:val="p"/>
          </m:rPr>
          <w:rPr>
            <w:rFonts w:ascii="Cambria Math" w:hAnsi="Cambria Math"/>
            <w:lang w:val="en-US"/>
          </w:rPr>
          <m:t>ϕ</m:t>
        </m:r>
      </m:oMath>
      <w:r w:rsidRPr="005F0999">
        <w:t xml:space="preserve"> в центрах комірок, використовуючи інтегральне представлення градієнта: </w:t>
      </w:r>
    </w:p>
    <w:p w:rsidR="008327EE" w:rsidRPr="004E0DEA" w:rsidRDefault="008327EE" w:rsidP="008327EE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/>
                  <w:i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∇ϕ</m:t>
              </m:r>
              <m:r>
                <w:rPr>
                  <w:rFonts w:ascii="Cambria Math" w:hAnsi="Times New Roman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Times New Roman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Times New Roman"/>
                      <w:i/>
                    </w:rPr>
                  </m:ctrlPr>
                </m:naryPr>
                <m:sub>
                  <m:r>
                    <w:rPr>
                      <w:rFonts w:ascii="Cambria Math" w:hAnsi="Times New Roman"/>
                    </w:rPr>
                    <m:t>S</m:t>
                  </m:r>
                </m:sub>
                <m:sup/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/>
                        </w:rPr>
                        <m:t>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m:r>
                  <m:r>
                    <w:rPr>
                      <w:rFonts w:ascii="Cambria Math" w:hAnsi="Times New Roman"/>
                    </w:rPr>
                    <m:t>ds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⇒</m:t>
          </m:r>
          <m:r>
            <m:rPr>
              <m:sty m:val="p"/>
            </m:rPr>
            <w:rPr>
              <w:rFonts w:ascii="Cambria Math" w:hAnsi="Times New Roman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∇ϕ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w:rPr>
                  <w:rFonts w:ascii="Cambria Math" w:hAnsi="Times New Roman"/>
                </w:rPr>
                <m:t>)</m:t>
              </m:r>
            </m:e>
            <m:sub>
              <m:r>
                <w:rPr>
                  <w:rFonts w:ascii="Cambria Math" w:hAnsi="Times New Roman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den>
          </m:f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/>
                </w:rPr>
              </m:ctrlPr>
            </m:naryPr>
            <m:sub>
              <m:r>
                <w:rPr>
                  <w:rFonts w:ascii="Cambria Math" w:hAnsi="Times New Roman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</m:sSub>
            </m:e>
          </m:nary>
        </m:oMath>
      </m:oMathPara>
    </w:p>
    <w:p w:rsidR="008327EE" w:rsidRPr="004E0DEA" w:rsidRDefault="008327EE" w:rsidP="008327EE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 w:rsidRPr="004E0DEA">
        <w:rPr>
          <w:rFonts w:ascii="Times New Roman" w:hAnsi="Times New Roman"/>
        </w:rPr>
        <w:t xml:space="preserve"> </w:t>
      </w:r>
      <w:r w:rsidRPr="004E0DEA">
        <w:rPr>
          <w:rFonts w:ascii="Times New Roman" w:hAnsi="Times New Roman"/>
        </w:rPr>
        <w:tab/>
        <w:t>(4)</w:t>
      </w:r>
    </w:p>
    <w:p w:rsidR="008327EE" w:rsidRPr="004E0DEA" w:rsidRDefault="008327EE" w:rsidP="008327EE">
      <w:pPr>
        <w:pStyle w:val="a5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4E0DEA">
        <w:rPr>
          <w:b w:val="0"/>
          <w:sz w:val="22"/>
          <w:szCs w:val="22"/>
          <w:lang w:val="ru-RU"/>
        </w:rPr>
        <w:t xml:space="preserve"> </w:t>
      </w:r>
    </w:p>
    <w:p w:rsidR="008327EE" w:rsidRPr="005F0999" w:rsidRDefault="008327EE" w:rsidP="008327EE">
      <w:pPr>
        <w:pStyle w:val="a6"/>
        <w:spacing w:line="240" w:lineRule="auto"/>
        <w:ind w:firstLine="0"/>
      </w:pPr>
      <w:r w:rsidRPr="005F0999">
        <w:t xml:space="preserve">після чого застосувати звичайну процедуру лінійної інтерполяції для розрахунку значення </w:t>
      </w:r>
      <m:oMath>
        <m:r>
          <m:rPr>
            <m:sty m:val="p"/>
          </m:rPr>
          <w:rPr>
            <w:rFonts w:ascii="Cambria Math" w:hAnsi="Cambria Math"/>
          </w:rPr>
          <m:t>∇ϕ</m:t>
        </m:r>
      </m:oMath>
      <w:r w:rsidRPr="005F0999">
        <w:t xml:space="preserve"> на межі осередку. Інший спосіб - апроксимувати кінцевими різницями саму похідну </w:t>
      </w:r>
      <m:oMath>
        <m:r>
          <w:rPr>
            <w:rFonts w:ascii="Cambria Math"/>
          </w:rPr>
          <m:t>∂</m:t>
        </m:r>
        <m:r>
          <m:rPr>
            <m:sty m:val="p"/>
          </m:rPr>
          <w:rPr>
            <w:rFonts w:ascii="Cambria Math" w:hAnsi="Cambria Math"/>
          </w:rPr>
          <m:t>ϕ</m:t>
        </m:r>
        <m:r>
          <w:rPr>
            <w:rFonts w:ascii="Cambria Math"/>
          </w:rPr>
          <m:t>/∂n</m:t>
        </m:r>
      </m:oMath>
      <w:r w:rsidRPr="005F0999">
        <w:t xml:space="preserve"> на грані, переходячи, як це прийнято в МКР, в локальну індексну систему коор</w:t>
      </w:r>
      <w:proofErr w:type="spellStart"/>
      <w:r w:rsidRPr="005F0999">
        <w:t>динат</w:t>
      </w:r>
      <w:proofErr w:type="spellEnd"/>
      <w:r w:rsidRPr="005F0999">
        <w:t xml:space="preserve"> (фактично використовуючи формули переходу до криволінійних узагальнених координат). Другий підхід вимагає менше обчислень і забезпечує меншу похибку апроксимації на рівномірній сітці (в рамках другого порядку точності), але застосовний тільки для структурованих сіток. </w:t>
      </w:r>
    </w:p>
    <w:p w:rsidR="00677FBE" w:rsidRPr="008327EE" w:rsidRDefault="00677FBE">
      <w:pPr>
        <w:rPr>
          <w:lang w:val="uk-UA"/>
        </w:rPr>
      </w:pPr>
    </w:p>
    <w:sectPr w:rsidR="00677FBE" w:rsidRPr="0083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27EE"/>
    <w:rsid w:val="00677FBE"/>
    <w:rsid w:val="0083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27EE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327EE"/>
    <w:rPr>
      <w:rFonts w:ascii="Times New Roman" w:eastAsia="Calibri" w:hAnsi="Times New Roman" w:cs="Times New Roman"/>
      <w:sz w:val="24"/>
      <w:szCs w:val="24"/>
    </w:rPr>
  </w:style>
  <w:style w:type="paragraph" w:styleId="a5">
    <w:name w:val="caption"/>
    <w:basedOn w:val="a"/>
    <w:next w:val="a"/>
    <w:uiPriority w:val="35"/>
    <w:qFormat/>
    <w:rsid w:val="008327EE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44"/>
      <w:lang w:val="en-GB" w:eastAsia="en-US"/>
    </w:rPr>
  </w:style>
  <w:style w:type="paragraph" w:customStyle="1" w:styleId="a6">
    <w:name w:val="Збірник НДУ"/>
    <w:basedOn w:val="a"/>
    <w:link w:val="a7"/>
    <w:qFormat/>
    <w:rsid w:val="008327E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Збірник НДУ Знак"/>
    <w:basedOn w:val="a0"/>
    <w:link w:val="a6"/>
    <w:rsid w:val="008327EE"/>
    <w:rPr>
      <w:rFonts w:ascii="Times New Roman" w:eastAsia="Times New Roman" w:hAnsi="Times New Roman" w:cs="Times New Roman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83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1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2</cp:revision>
  <dcterms:created xsi:type="dcterms:W3CDTF">2013-02-26T18:02:00Z</dcterms:created>
  <dcterms:modified xsi:type="dcterms:W3CDTF">2013-02-26T18:02:00Z</dcterms:modified>
</cp:coreProperties>
</file>